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7030a0" w:space="0" w:sz="8" w:val="single"/>
          <w:left w:color="7030a0" w:space="0" w:sz="8" w:val="single"/>
          <w:bottom w:color="7030a0" w:space="0" w:sz="8" w:val="single"/>
          <w:right w:color="7030a0" w:space="0" w:sz="8" w:val="single"/>
          <w:insideH w:color="7030a0" w:space="0" w:sz="8" w:val="single"/>
          <w:insideV w:color="7030a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7030a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36"/>
                <w:szCs w:val="36"/>
                <w:shd w:fill="7030a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6"/>
                <w:szCs w:val="36"/>
                <w:shd w:fill="7030a0" w:val="clear"/>
                <w:rtl w:val="0"/>
              </w:rPr>
              <w:t xml:space="preserve">Affton School District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60"/>
                <w:szCs w:val="60"/>
                <w:shd w:fill="7030a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60"/>
                <w:szCs w:val="60"/>
                <w:shd w:fill="7030a0" w:val="clear"/>
                <w:rtl w:val="0"/>
              </w:rPr>
              <w:t xml:space="preserve">Communications Plan</w:t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hd w:fill="7030a0" w:val="clear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Overview: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&lt;Insert problem statement here&gt;</w:t>
      </w:r>
    </w:p>
    <w:p w:rsidR="00000000" w:rsidDel="00000000" w:rsidP="00000000" w:rsidRDefault="00000000" w:rsidRPr="00000000" w14:paraId="00000005">
      <w:pPr>
        <w:pageBreakBefore w:val="0"/>
        <w:pBdr>
          <w:bottom w:color="000000" w:space="1" w:sz="4" w:val="single"/>
        </w:pBd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Research:</w:t>
      </w:r>
    </w:p>
    <w:p w:rsidR="00000000" w:rsidDel="00000000" w:rsidP="00000000" w:rsidRDefault="00000000" w:rsidRPr="00000000" w14:paraId="00000006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Primary/Secondary (define method):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6"/>
        </w:numPr>
        <w:spacing w:after="20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&lt;Describe research and key findings&gt;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Situation Analysis (SWOT):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"/>
        <w:gridCol w:w="4590"/>
        <w:gridCol w:w="4608"/>
        <w:tblGridChange w:id="0">
          <w:tblGrid>
            <w:gridCol w:w="378"/>
            <w:gridCol w:w="4590"/>
            <w:gridCol w:w="4608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Positive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Negative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Internal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Strengths: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Weaknesses:</w:t>
            </w:r>
          </w:p>
          <w:p w:rsidR="00000000" w:rsidDel="00000000" w:rsidP="00000000" w:rsidRDefault="00000000" w:rsidRPr="00000000" w14:paraId="00000010">
            <w:pPr>
              <w:pageBreakBefore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ind w:left="113" w:right="113" w:firstLine="0"/>
              <w:rPr>
                <w:rFonts w:ascii="Calibri" w:cs="Calibri" w:eastAsia="Calibri" w:hAnsi="Calibri"/>
                <w:b w:val="1"/>
                <w:i w:val="1"/>
                <w:color w:val="7030a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External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Opportunities: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Threats: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bottom w:color="000000" w:space="1" w:sz="4" w:val="single"/>
        </w:pBd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bottom w:color="000000" w:space="1" w:sz="4" w:val="single"/>
        </w:pBd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Planning: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Define longer-term, broad, future statements of “being”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Key Public: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Define target audience</w:t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Objectives: 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Shorter-term, measurable with specific desired results - SMART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Define WHAT opinion, attitude, or behavior you want to achieve from specific publics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Specify how much change you want to achieve from each public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Tell by when you want to achieve that change</w:t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030"/>
        <w:gridCol w:w="3060"/>
        <w:gridCol w:w="2610"/>
        <w:gridCol w:w="1860"/>
        <w:tblGridChange w:id="0">
          <w:tblGrid>
            <w:gridCol w:w="3840"/>
            <w:gridCol w:w="3030"/>
            <w:gridCol w:w="3060"/>
            <w:gridCol w:w="261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682b8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Strategy</w:t>
            </w:r>
          </w:p>
        </w:tc>
        <w:tc>
          <w:tcPr>
            <w:shd w:fill="682b8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Messages</w:t>
            </w:r>
          </w:p>
        </w:tc>
        <w:tc>
          <w:tcPr>
            <w:shd w:fill="682b8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Tactics</w:t>
            </w:r>
          </w:p>
        </w:tc>
        <w:tc>
          <w:tcPr>
            <w:shd w:fill="682b8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  <w:shd w:fill="7030a0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Person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82b8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Timeline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spacing w:after="20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20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Evaluation: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